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As filed with the Securities and Exchange Commission on March 5, 2026</w:t>
      </w:r>
    </w:p>
    <w:p>
      <w:pPr>
        <w:spacing w:after="0" w:line="7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226060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Bioventus Inc.</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2880" w:type="dxa"/>
        <w:tblCellMar>
          <w:top w:w="0" w:type="dxa"/>
          <w:left w:w="0" w:type="dxa"/>
          <w:bottom w:w="0" w:type="dxa"/>
          <w:right w:w="0" w:type="dxa"/>
        </w:tblCellMar>
      </w:tblPr>
      <w:tr>
        <w:trPr>
          <w:trHeight w:val="238"/>
        </w:trPr>
        <w:tc>
          <w:tcPr>
            <w:tcW w:w="2740" w:type="dxa"/>
            <w:vAlign w:val="bottom"/>
          </w:tcPr>
          <w:p>
            <w:pPr>
              <w:jc w:val="center"/>
              <w:ind w:right="64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40" w:type="dxa"/>
            <w:vAlign w:val="bottom"/>
          </w:tcPr>
          <w:p>
            <w:pPr>
              <w:jc w:val="center"/>
              <w:ind w:left="618"/>
              <w:spacing w:after="0"/>
              <w:rPr>
                <w:sz w:val="20"/>
                <w:szCs w:val="20"/>
                <w:color w:val="auto"/>
              </w:rPr>
            </w:pPr>
            <w:r>
              <w:rPr>
                <w:rFonts w:ascii="Times New Roman" w:cs="Times New Roman" w:eastAsia="Times New Roman" w:hAnsi="Times New Roman"/>
                <w:sz w:val="18"/>
                <w:szCs w:val="18"/>
                <w:b w:val="1"/>
                <w:bCs w:val="1"/>
                <w:color w:val="auto"/>
                <w:w w:val="98"/>
              </w:rPr>
              <w:t>81-0980861</w:t>
            </w:r>
          </w:p>
        </w:tc>
        <w:tc>
          <w:tcPr>
            <w:tcW w:w="0" w:type="dxa"/>
            <w:vAlign w:val="bottom"/>
          </w:tcPr>
          <w:p>
            <w:pPr>
              <w:spacing w:after="0"/>
              <w:rPr>
                <w:sz w:val="1"/>
                <w:szCs w:val="1"/>
                <w:color w:val="auto"/>
              </w:rPr>
            </w:pPr>
          </w:p>
        </w:tc>
      </w:tr>
      <w:tr>
        <w:trPr>
          <w:trHeight w:val="164"/>
        </w:trPr>
        <w:tc>
          <w:tcPr>
            <w:tcW w:w="2740" w:type="dxa"/>
            <w:vAlign w:val="bottom"/>
          </w:tcPr>
          <w:p>
            <w:pPr>
              <w:jc w:val="center"/>
              <w:ind w:right="6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740" w:type="dxa"/>
            <w:vAlign w:val="bottom"/>
            <w:vMerge w:val="restart"/>
          </w:tcPr>
          <w:p>
            <w:pPr>
              <w:jc w:val="center"/>
              <w:ind w:left="638"/>
              <w:spacing w:after="0"/>
              <w:rPr>
                <w:sz w:val="20"/>
                <w:szCs w:val="20"/>
                <w:color w:val="auto"/>
              </w:rPr>
            </w:pPr>
            <w:r>
              <w:rPr>
                <w:rFonts w:ascii="Times New Roman" w:cs="Times New Roman" w:eastAsia="Times New Roman" w:hAnsi="Times New Roman"/>
                <w:sz w:val="22"/>
                <w:szCs w:val="22"/>
                <w:color w:val="auto"/>
                <w:w w:val="98"/>
              </w:rPr>
              <w:t>(I.R.S. Employer</w:t>
            </w:r>
          </w:p>
        </w:tc>
        <w:tc>
          <w:tcPr>
            <w:tcW w:w="0" w:type="dxa"/>
            <w:vAlign w:val="bottom"/>
          </w:tcPr>
          <w:p>
            <w:pPr>
              <w:spacing w:after="0"/>
              <w:rPr>
                <w:sz w:val="1"/>
                <w:szCs w:val="1"/>
                <w:color w:val="auto"/>
              </w:rPr>
            </w:pPr>
          </w:p>
        </w:tc>
      </w:tr>
      <w:tr>
        <w:trPr>
          <w:trHeight w:val="105"/>
        </w:trPr>
        <w:tc>
          <w:tcPr>
            <w:tcW w:w="2740" w:type="dxa"/>
            <w:vAlign w:val="bottom"/>
            <w:vMerge w:val="restart"/>
          </w:tcPr>
          <w:p>
            <w:pPr>
              <w:jc w:val="center"/>
              <w:ind w:right="642"/>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2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740" w:type="dxa"/>
            <w:vAlign w:val="bottom"/>
            <w:vMerge w:val="continue"/>
          </w:tcPr>
          <w:p>
            <w:pPr>
              <w:spacing w:after="0"/>
              <w:rPr>
                <w:sz w:val="7"/>
                <w:szCs w:val="7"/>
                <w:color w:val="auto"/>
              </w:rPr>
            </w:pPr>
          </w:p>
        </w:tc>
        <w:tc>
          <w:tcPr>
            <w:tcW w:w="2740" w:type="dxa"/>
            <w:vAlign w:val="bottom"/>
            <w:vMerge w:val="restart"/>
          </w:tcPr>
          <w:p>
            <w:pPr>
              <w:jc w:val="center"/>
              <w:ind w:left="638"/>
              <w:spacing w:after="0"/>
              <w:rPr>
                <w:sz w:val="20"/>
                <w:szCs w:val="20"/>
                <w:color w:val="auto"/>
              </w:rPr>
            </w:pPr>
            <w:r>
              <w:rPr>
                <w:rFonts w:ascii="Times New Roman" w:cs="Times New Roman" w:eastAsia="Times New Roman" w:hAnsi="Times New Roman"/>
                <w:sz w:val="22"/>
                <w:szCs w:val="22"/>
                <w:color w:val="auto"/>
                <w:w w:val="98"/>
              </w:rPr>
              <w:t>Identification Number)</w:t>
            </w:r>
          </w:p>
        </w:tc>
        <w:tc>
          <w:tcPr>
            <w:tcW w:w="0" w:type="dxa"/>
            <w:vAlign w:val="bottom"/>
          </w:tcPr>
          <w:p>
            <w:pPr>
              <w:spacing w:after="0"/>
              <w:rPr>
                <w:sz w:val="1"/>
                <w:szCs w:val="1"/>
                <w:color w:val="auto"/>
              </w:rPr>
            </w:pPr>
          </w:p>
        </w:tc>
      </w:tr>
      <w:tr>
        <w:trPr>
          <w:trHeight w:val="198"/>
        </w:trPr>
        <w:tc>
          <w:tcPr>
            <w:tcW w:w="2740" w:type="dxa"/>
            <w:vAlign w:val="bottom"/>
          </w:tcPr>
          <w:p>
            <w:pPr>
              <w:spacing w:after="0"/>
              <w:rPr>
                <w:sz w:val="17"/>
                <w:szCs w:val="17"/>
                <w:color w:val="auto"/>
              </w:rPr>
            </w:pPr>
          </w:p>
        </w:tc>
        <w:tc>
          <w:tcPr>
            <w:tcW w:w="2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55"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4721 Emperor Boulevard, Suite 100</w:t>
      </w:r>
    </w:p>
    <w:p>
      <w:pPr>
        <w:spacing w:after="0" w:line="3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Durham, North Carolina 27703</w:t>
      </w:r>
    </w:p>
    <w:p>
      <w:pPr>
        <w:spacing w:after="0" w:line="31"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(Zip code)</w:t>
      </w:r>
    </w:p>
    <w:p>
      <w:pPr>
        <w:spacing w:after="0" w:line="5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Bioventus Inc. 2021 Incentive Award Plan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Bioventus Inc. 2021 Employee Stock Purchase Plan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Robert E. Claypoole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Bioventus Inc.</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4721 Emperor Boulevard, Suite 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Durham, North Carolina 27703</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474-6700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 (Telephone number, including area code, of agent for service)</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With copies to:</w:t>
      </w:r>
    </w:p>
    <w:p>
      <w:pPr>
        <w:spacing w:after="0" w:line="63"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Lorna A. Knick, Esq.</w:t>
      </w:r>
    </w:p>
    <w:p>
      <w:pPr>
        <w:spacing w:after="0" w:line="3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Nicholas C. Massey, Esq.</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Wyrick Robbins Yates &amp; Ponton LLP</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4101 Lake Boone Trail, Suite 300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Raleigh, North Carolina 27607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(919) 781-4000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1"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6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680" w:type="dxa"/>
            <w:vAlign w:val="bottom"/>
          </w:tcPr>
          <w:p>
            <w:pPr>
              <w:ind w:left="740"/>
              <w:spacing w:after="0" w:line="181" w:lineRule="exact"/>
              <w:rPr>
                <w:sz w:val="20"/>
                <w:szCs w:val="20"/>
                <w:color w:val="auto"/>
              </w:rPr>
            </w:pPr>
            <w:r>
              <w:rPr>
                <w:rFonts w:ascii="MS PGothic" w:cs="MS PGothic" w:eastAsia="MS PGothic" w:hAnsi="MS PGothic"/>
                <w:sz w:val="18"/>
                <w:szCs w:val="18"/>
                <w:color w:val="auto"/>
              </w:rPr>
              <w:t>☐</w:t>
            </w:r>
          </w:p>
        </w:tc>
        <w:tc>
          <w:tcPr>
            <w:tcW w:w="42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26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ectPr>
          <w:pgSz w:w="11900" w:h="16838" w:orient="portrait"/>
          <w:cols w:equalWidth="0" w:num="1">
            <w:col w:w="11240"/>
          </w:cols>
          <w:pgMar w:left="320" w:top="1107" w:right="339" w:bottom="77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General Instruction E to Form S-8, this Registration Statement on Form S-8 is being filed for the purpose of registering an additional 3,729,800 shares of Bioventus Inc.’s (the “Registrant”) Class A common stock to be issued pursuant to the Bioventus Inc. 2021 Incentive Award Plan (the “2021 Plan”) and an additional 670,977 shares of the Registrant’s Class A common stock to be issued pursuant to the Bioventus Inc. 2021 Employee Stock Purchase Plan (the “2021 ESPP”) and for which Registration Statements of the Registrant on Form S-8 relating to the same employee benefit plans are effective.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 OF CONTENTS OF REGISTRATION STATEMENT ON FORM S-8</w:t>
      </w:r>
    </w:p>
    <w:p>
      <w:pPr>
        <w:spacing w:after="0" w:line="121" w:lineRule="exact"/>
        <w:rPr>
          <w:sz w:val="20"/>
          <w:szCs w:val="20"/>
          <w:color w:val="auto"/>
        </w:rPr>
      </w:pPr>
    </w:p>
    <w:p>
      <w:pPr>
        <w:jc w:val="both"/>
        <w:spacing w:after="0" w:line="261" w:lineRule="auto"/>
        <w:rPr>
          <w:rFonts w:ascii="Times New Roman" w:cs="Times New Roman" w:eastAsia="Times New Roman" w:hAnsi="Times New Roman"/>
          <w:sz w:val="18"/>
          <w:szCs w:val="18"/>
          <w:color w:val="0000FF"/>
        </w:rPr>
      </w:pPr>
      <w:hyperlink r:id="rId14">
        <w:r>
          <w:rPr>
            <w:rFonts w:ascii="Times New Roman" w:cs="Times New Roman" w:eastAsia="Times New Roman" w:hAnsi="Times New Roman"/>
            <w:sz w:val="18"/>
            <w:szCs w:val="18"/>
            <w:color w:val="auto"/>
          </w:rPr>
          <w:t xml:space="preserve">The contents of the Registration Statements on Form S-8 </w:t>
        </w:r>
        <w:r>
          <w:rPr>
            <w:rFonts w:ascii="Times New Roman" w:cs="Times New Roman" w:eastAsia="Times New Roman" w:hAnsi="Times New Roman"/>
            <w:sz w:val="18"/>
            <w:szCs w:val="18"/>
            <w:color w:val="0E32E1"/>
          </w:rPr>
          <w:t>(</w:t>
        </w:r>
        <w:r>
          <w:rPr>
            <w:rFonts w:ascii="Times New Roman" w:cs="Times New Roman" w:eastAsia="Times New Roman" w:hAnsi="Times New Roman"/>
            <w:sz w:val="18"/>
            <w:szCs w:val="18"/>
            <w:u w:val="single" w:color="auto"/>
            <w:color w:val="0000FF"/>
          </w:rPr>
          <w:t>File No. 333-252981</w:t>
        </w:r>
        <w:r>
          <w:rPr>
            <w:rFonts w:ascii="Times New Roman" w:cs="Times New Roman" w:eastAsia="Times New Roman" w:hAnsi="Times New Roman"/>
            <w:sz w:val="18"/>
            <w:szCs w:val="18"/>
            <w:color w:val="0E32E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File No. 333-263496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File No. 333-271310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File No. 333-278100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File</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FF"/>
          </w:rPr>
          <w:t>No. 333-285698</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filed with the Securities and Exchange Commission on February 11, 2021, March 11, 2022, April 18, 2023, March 20, 2024, and March</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11, 2025, respectively, relating to the 2021 Plan and the 2021 ESPP, as amended, or as modified or superseded pursuant to Rule 412 under the Securities Act of 1933, as amended, are incorporated herein by reference.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80" w:type="dxa"/>
            <w:vAlign w:val="bottom"/>
            <w:gridSpan w:val="12"/>
          </w:tcPr>
          <w:p>
            <w:pPr>
              <w:jc w:val="center"/>
              <w:ind w:right="5060"/>
              <w:spacing w:after="0"/>
              <w:rPr>
                <w:sz w:val="20"/>
                <w:szCs w:val="20"/>
                <w:color w:val="auto"/>
              </w:rPr>
            </w:pPr>
            <w:r>
              <w:rPr>
                <w:rFonts w:ascii="Times New Roman" w:cs="Times New Roman" w:eastAsia="Times New Roman" w:hAnsi="Times New Roman"/>
                <w:sz w:val="22"/>
                <w:szCs w:val="22"/>
                <w:b w:val="1"/>
                <w:bCs w:val="1"/>
                <w:color w:val="auto"/>
                <w:w w:val="99"/>
              </w:rPr>
              <w:t>Part II</w:t>
            </w:r>
          </w:p>
        </w:tc>
      </w:tr>
      <w:tr>
        <w:trPr>
          <w:trHeight w:val="473"/>
        </w:trPr>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6"/>
          </w:tcPr>
          <w:p>
            <w:pPr>
              <w:jc w:val="center"/>
              <w:ind w:right="1440"/>
              <w:spacing w:after="0"/>
              <w:rPr>
                <w:sz w:val="20"/>
                <w:szCs w:val="20"/>
                <w:color w:val="auto"/>
              </w:rPr>
            </w:pPr>
            <w:r>
              <w:rPr>
                <w:rFonts w:ascii="Times New Roman" w:cs="Times New Roman" w:eastAsia="Times New Roman" w:hAnsi="Times New Roman"/>
                <w:sz w:val="22"/>
                <w:szCs w:val="22"/>
                <w:b w:val="1"/>
                <w:bCs w:val="1"/>
                <w:color w:val="auto"/>
                <w:w w:val="97"/>
              </w:rPr>
              <w:t>INFORMATION REQUIRED IN THE REGISTRATION STATEMENT</w:t>
            </w:r>
          </w:p>
        </w:tc>
      </w:tr>
      <w:tr>
        <w:trPr>
          <w:trHeight w:val="420"/>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8"/>
        </w:trPr>
        <w:tc>
          <w:tcPr>
            <w:tcW w:w="142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520" w:type="dxa"/>
            <w:vAlign w:val="bottom"/>
            <w:gridSpan w:val="11"/>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13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90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5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0" w:type="dxa"/>
            <w:vAlign w:val="bottom"/>
            <w:gridSpan w:val="16"/>
          </w:tcPr>
          <w:p>
            <w:pPr>
              <w:spacing w:after="0"/>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Amended and Restated Certificate of Incorporation of Bioventus Inc. (incorporated by reference to Exhibit 3.1 of the Registrant’s</w:t>
              </w:r>
            </w:hyperlink>
          </w:p>
        </w:tc>
      </w:tr>
      <w:tr>
        <w:trPr>
          <w:trHeight w:val="183"/>
        </w:trPr>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40" w:type="dxa"/>
            <w:vAlign w:val="bottom"/>
            <w:tcBorders>
              <w:top w:val="single" w:sz="8" w:color="0000FF"/>
            </w:tcBorders>
            <w:gridSpan w:val="13"/>
          </w:tcPr>
          <w:p>
            <w:pPr>
              <w:spacing w:after="0" w:line="182" w:lineRule="exact"/>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0000FF"/>
                </w:rPr>
                <w:t>Current Report on Form 8-K (File No. 001-37844) filed on February 17, 2021).</w:t>
              </w:r>
            </w:hyperlink>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6"/>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Certificate of Amendment to Amended and Restated Certificate of Incorporation of Bioventus Inc. (incorporated by reference to</w:t>
              </w:r>
            </w:hyperlink>
          </w:p>
        </w:tc>
      </w:tr>
      <w:tr>
        <w:trPr>
          <w:trHeight w:val="183"/>
        </w:trPr>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20" w:type="dxa"/>
            <w:vAlign w:val="bottom"/>
            <w:tcBorders>
              <w:top w:val="single" w:sz="8" w:color="0000FF"/>
              <w:bottom w:val="single" w:sz="8" w:color="0000FF"/>
            </w:tcBorders>
            <w:gridSpan w:val="10"/>
          </w:tcPr>
          <w:p>
            <w:pPr>
              <w:spacing w:after="0" w:line="182" w:lineRule="exact"/>
              <w:rPr>
                <w:rFonts w:ascii="Times New Roman" w:cs="Times New Roman" w:eastAsia="Times New Roman" w:hAnsi="Times New Roman"/>
                <w:sz w:val="18"/>
                <w:szCs w:val="18"/>
                <w:color w:val="0000FF"/>
                <w:w w:val="99"/>
              </w:rPr>
            </w:pPr>
            <w:hyperlink r:id="rId16">
              <w:r>
                <w:rPr>
                  <w:rFonts w:ascii="Times New Roman" w:cs="Times New Roman" w:eastAsia="Times New Roman" w:hAnsi="Times New Roman"/>
                  <w:sz w:val="18"/>
                  <w:szCs w:val="18"/>
                  <w:color w:val="0000FF"/>
                  <w:w w:val="99"/>
                </w:rPr>
                <w:t>Exhibit 3.1 of the Registrant’s Current Report on Form 8-K (File No. 001-37844) filed on June 17, 2024).</w:t>
              </w:r>
            </w:hyperlink>
          </w:p>
        </w:tc>
        <w:tc>
          <w:tcPr>
            <w:tcW w:w="1620" w:type="dxa"/>
            <w:vAlign w:val="bottom"/>
            <w:tcBorders>
              <w:top w:val="single" w:sz="8" w:color="0000FF"/>
            </w:tcBorders>
            <w:gridSpan w:val="2"/>
          </w:tcPr>
          <w:p>
            <w:pPr>
              <w:spacing w:after="0"/>
              <w:rPr>
                <w:sz w:val="15"/>
                <w:szCs w:val="15"/>
                <w:color w:val="auto"/>
              </w:rPr>
            </w:pPr>
          </w:p>
        </w:tc>
        <w:tc>
          <w:tcPr>
            <w:tcW w:w="36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6"/>
          </w:tcPr>
          <w:p>
            <w:pPr>
              <w:spacing w:after="0"/>
              <w:rPr>
                <w:rFonts w:ascii="Times New Roman" w:cs="Times New Roman" w:eastAsia="Times New Roman" w:hAnsi="Times New Roman"/>
                <w:sz w:val="18"/>
                <w:szCs w:val="18"/>
                <w:color w:val="0000FF"/>
              </w:rPr>
            </w:pPr>
            <w:hyperlink r:id="rId17">
              <w:r>
                <w:rPr>
                  <w:rFonts w:ascii="Times New Roman" w:cs="Times New Roman" w:eastAsia="Times New Roman" w:hAnsi="Times New Roman"/>
                  <w:sz w:val="18"/>
                  <w:szCs w:val="18"/>
                  <w:color w:val="0000FF"/>
                </w:rPr>
                <w:t>Second Amended and Restated Bylaws of Bioventus Inc. (incorporated by reference to Exhibit 3.2 of the Registrant’s Current Report</w:t>
              </w:r>
            </w:hyperlink>
          </w:p>
        </w:tc>
      </w:tr>
      <w:tr>
        <w:trPr>
          <w:trHeight w:val="183"/>
        </w:trPr>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top w:val="single" w:sz="8" w:color="0000FF"/>
              <w:bottom w:val="single" w:sz="8" w:color="0000FF"/>
            </w:tcBorders>
            <w:gridSpan w:val="5"/>
          </w:tcPr>
          <w:p>
            <w:pPr>
              <w:spacing w:after="0" w:line="182" w:lineRule="exact"/>
              <w:rPr>
                <w:rFonts w:ascii="Times New Roman" w:cs="Times New Roman" w:eastAsia="Times New Roman" w:hAnsi="Times New Roman"/>
                <w:sz w:val="18"/>
                <w:szCs w:val="18"/>
                <w:color w:val="0000FF"/>
                <w:w w:val="99"/>
              </w:rPr>
            </w:pPr>
            <w:hyperlink r:id="rId17">
              <w:r>
                <w:rPr>
                  <w:rFonts w:ascii="Times New Roman" w:cs="Times New Roman" w:eastAsia="Times New Roman" w:hAnsi="Times New Roman"/>
                  <w:sz w:val="18"/>
                  <w:szCs w:val="18"/>
                  <w:color w:val="0000FF"/>
                  <w:w w:val="99"/>
                </w:rPr>
                <w:t>on Form 8-K (File No. 001-37844) filed on June 17, 2024).</w:t>
              </w:r>
            </w:hyperlink>
          </w:p>
        </w:tc>
        <w:tc>
          <w:tcPr>
            <w:tcW w:w="5320" w:type="dxa"/>
            <w:vAlign w:val="bottom"/>
            <w:tcBorders>
              <w:top w:val="single" w:sz="8" w:color="0000FF"/>
            </w:tcBorders>
            <w:gridSpan w:val="9"/>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90"/>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5.1*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rPr>
              <w:t>Opinion of Wyrick Robbins Yates &amp; Ponton LLP</w:t>
            </w:r>
            <w:r>
              <w:rPr>
                <w:rFonts w:ascii="Times New Roman" w:cs="Times New Roman" w:eastAsia="Times New Roman" w:hAnsi="Times New Roman"/>
                <w:sz w:val="18"/>
                <w:szCs w:val="18"/>
                <w:color w:val="3051F2"/>
              </w:rPr>
              <w:t>.</w:t>
            </w: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22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rPr>
              <w:t>Consent of Grant Thornton, Independent Registered Public Accounting Fir</w:t>
            </w:r>
            <w:r>
              <w:rPr>
                <w:rFonts w:ascii="Times New Roman" w:cs="Times New Roman" w:eastAsia="Times New Roman" w:hAnsi="Times New Roman"/>
                <w:sz w:val="18"/>
                <w:szCs w:val="18"/>
                <w:color w:val="3051F2"/>
              </w:rPr>
              <w:t>m.</w:t>
            </w: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226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80" w:type="dxa"/>
            <w:vAlign w:val="bottom"/>
            <w:shd w:val="clear" w:color="auto" w:fill="0E32E1"/>
          </w:tcPr>
          <w:p>
            <w:pPr>
              <w:spacing w:after="0" w:line="20" w:lineRule="exact"/>
              <w:rPr>
                <w:sz w:val="1"/>
                <w:szCs w:val="1"/>
                <w:color w:val="auto"/>
              </w:rPr>
            </w:pPr>
          </w:p>
        </w:tc>
        <w:tc>
          <w:tcPr>
            <w:tcW w:w="660" w:type="dxa"/>
            <w:vAlign w:val="bottom"/>
            <w:shd w:val="clear" w:color="auto" w:fill="0E32E1"/>
          </w:tcPr>
          <w:p>
            <w:pPr>
              <w:spacing w:after="0" w:line="20" w:lineRule="exact"/>
              <w:rPr>
                <w:sz w:val="1"/>
                <w:szCs w:val="1"/>
                <w:color w:val="auto"/>
              </w:rPr>
            </w:pPr>
          </w:p>
        </w:tc>
        <w:tc>
          <w:tcPr>
            <w:tcW w:w="10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140" w:type="dxa"/>
            <w:vAlign w:val="bottom"/>
            <w:tcBorders>
              <w:right w:val="single" w:sz="8" w:color="3051F2"/>
            </w:tcBorders>
            <w:shd w:val="clear" w:color="auto" w:fill="3051F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6"/>
          </w:tcPr>
          <w:p>
            <w:pPr>
              <w:spacing w:after="0"/>
              <w:rPr>
                <w:sz w:val="20"/>
                <w:szCs w:val="20"/>
                <w:color w:val="auto"/>
              </w:rPr>
            </w:pPr>
            <w:r>
              <w:rPr>
                <w:rFonts w:ascii="Times New Roman" w:cs="Times New Roman" w:eastAsia="Times New Roman" w:hAnsi="Times New Roman"/>
                <w:sz w:val="18"/>
                <w:szCs w:val="18"/>
                <w:color w:val="0E32E1"/>
              </w:rPr>
              <w:t>Consent of Wyrick Robbins Yates &amp; Ponton LLP (included in Exhibit 5.1</w:t>
            </w:r>
            <w:r>
              <w:rPr>
                <w:rFonts w:ascii="Times New Roman" w:cs="Times New Roman" w:eastAsia="Times New Roman" w:hAnsi="Times New Roman"/>
                <w:sz w:val="18"/>
                <w:szCs w:val="18"/>
                <w:u w:val="single" w:color="auto"/>
                <w:color w:val="3051F2"/>
              </w:rPr>
              <w:t>)</w:t>
            </w:r>
            <w:r>
              <w:rPr>
                <w:rFonts w:ascii="Times New Roman" w:cs="Times New Roman" w:eastAsia="Times New Roman" w:hAnsi="Times New Roman"/>
                <w:sz w:val="18"/>
                <w:szCs w:val="18"/>
                <w:color w:val="3051F2"/>
              </w:rPr>
              <w:t>.</w:t>
            </w:r>
          </w:p>
        </w:tc>
      </w:tr>
      <w:tr>
        <w:trPr>
          <w:trHeight w:val="46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top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rPr>
              <w:t>Power of Attorney (included on signature page)</w:t>
            </w:r>
            <w:r>
              <w:rPr>
                <w:rFonts w:ascii="Times New Roman" w:cs="Times New Roman" w:eastAsia="Times New Roman" w:hAnsi="Times New Roman"/>
                <w:sz w:val="18"/>
                <w:szCs w:val="18"/>
                <w:color w:val="3051F2"/>
              </w:rPr>
              <w:t>.</w:t>
            </w:r>
          </w:p>
        </w:tc>
        <w:tc>
          <w:tcPr>
            <w:tcW w:w="4500" w:type="dxa"/>
            <w:vAlign w:val="bottom"/>
            <w:gridSpan w:val="10"/>
          </w:tcPr>
          <w:p>
            <w:pPr>
              <w:spacing w:after="0"/>
              <w:rPr>
                <w:sz w:val="24"/>
                <w:szCs w:val="24"/>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2260" w:type="dxa"/>
            <w:vAlign w:val="bottom"/>
            <w:shd w:val="clear" w:color="auto" w:fill="0E32E1"/>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1"/>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6"/>
          </w:tcPr>
          <w:p>
            <w:pPr>
              <w:spacing w:after="0"/>
              <w:rPr>
                <w:rFonts w:ascii="Times New Roman" w:cs="Times New Roman" w:eastAsia="Times New Roman" w:hAnsi="Times New Roman"/>
                <w:sz w:val="18"/>
                <w:szCs w:val="18"/>
                <w:color w:val="0E32E1"/>
              </w:rPr>
            </w:pPr>
            <w:hyperlink r:id="rId18">
              <w:r>
                <w:rPr>
                  <w:rFonts w:ascii="Times New Roman" w:cs="Times New Roman" w:eastAsia="Times New Roman" w:hAnsi="Times New Roman"/>
                  <w:sz w:val="18"/>
                  <w:szCs w:val="18"/>
                  <w:color w:val="0E32E1"/>
                </w:rPr>
                <w:t>Bioventus Inc. 2021 Equity Incentive Plan (incorporated by reference to Exhibit 10.3 to the Registrant’s Quarterly Report on Form 10-</w:t>
              </w:r>
            </w:hyperlink>
          </w:p>
        </w:tc>
      </w:tr>
      <w:tr>
        <w:trPr>
          <w:trHeight w:val="155"/>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00" w:type="dxa"/>
            <w:vAlign w:val="bottom"/>
            <w:tcBorders>
              <w:top w:val="single" w:sz="8" w:color="0E32E1"/>
            </w:tcBorders>
            <w:gridSpan w:val="15"/>
          </w:tcPr>
          <w:p>
            <w:pPr>
              <w:spacing w:after="0" w:line="156" w:lineRule="exact"/>
              <w:rPr>
                <w:rFonts w:ascii="Times New Roman" w:cs="Times New Roman" w:eastAsia="Times New Roman" w:hAnsi="Times New Roman"/>
                <w:sz w:val="18"/>
                <w:szCs w:val="18"/>
                <w:color w:val="0E32E1"/>
              </w:rPr>
            </w:pPr>
            <w:hyperlink r:id="rId18">
              <w:r>
                <w:rPr>
                  <w:rFonts w:ascii="Times New Roman" w:cs="Times New Roman" w:eastAsia="Times New Roman" w:hAnsi="Times New Roman"/>
                  <w:sz w:val="18"/>
                  <w:szCs w:val="18"/>
                  <w:color w:val="0E32E1"/>
                </w:rPr>
                <w:t>Q (File No 001-37844), filed on August 12, 2022)</w:t>
              </w:r>
              <w:r>
                <w:rPr>
                  <w:rFonts w:ascii="Times New Roman" w:cs="Times New Roman" w:eastAsia="Times New Roman" w:hAnsi="Times New Roman"/>
                  <w:sz w:val="18"/>
                  <w:szCs w:val="18"/>
                  <w:color w:val="3051F2"/>
                </w:rPr>
                <w:t>.</w:t>
              </w:r>
            </w:hyperlink>
          </w:p>
        </w:tc>
        <w:tc>
          <w:tcPr>
            <w:tcW w:w="100" w:type="dxa"/>
            <w:vAlign w:val="bottom"/>
          </w:tcPr>
          <w:p>
            <w:pPr>
              <w:spacing w:after="0"/>
              <w:rPr>
                <w:sz w:val="13"/>
                <w:szCs w:val="13"/>
                <w:color w:val="auto"/>
              </w:rPr>
            </w:pPr>
          </w:p>
        </w:tc>
      </w:tr>
      <w:tr>
        <w:trPr>
          <w:trHeight w:val="20"/>
        </w:trPr>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shd w:val="clear" w:color="auto" w:fill="0E32E1"/>
          </w:tcPr>
          <w:p>
            <w:pPr>
              <w:spacing w:after="0" w:line="20" w:lineRule="exact"/>
              <w:rPr>
                <w:sz w:val="1"/>
                <w:szCs w:val="1"/>
                <w:color w:val="auto"/>
              </w:rPr>
            </w:pPr>
          </w:p>
        </w:tc>
        <w:tc>
          <w:tcPr>
            <w:tcW w:w="2440" w:type="dxa"/>
            <w:vAlign w:val="bottom"/>
            <w:gridSpan w:val="3"/>
            <w:shd w:val="clear" w:color="auto" w:fill="0E32E1"/>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r>
      <w:tr>
        <w:trPr>
          <w:trHeight w:val="453"/>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99.2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0" w:type="dxa"/>
            <w:vAlign w:val="bottom"/>
            <w:gridSpan w:val="16"/>
          </w:tcPr>
          <w:p>
            <w:pPr>
              <w:spacing w:after="0"/>
              <w:rPr>
                <w:rFonts w:ascii="Times New Roman" w:cs="Times New Roman" w:eastAsia="Times New Roman" w:hAnsi="Times New Roman"/>
                <w:sz w:val="18"/>
                <w:szCs w:val="18"/>
                <w:color w:val="0E32E1"/>
              </w:rPr>
            </w:pPr>
            <w:hyperlink r:id="rId19">
              <w:r>
                <w:rPr>
                  <w:rFonts w:ascii="Times New Roman" w:cs="Times New Roman" w:eastAsia="Times New Roman" w:hAnsi="Times New Roman"/>
                  <w:sz w:val="18"/>
                  <w:szCs w:val="18"/>
                  <w:color w:val="0E32E1"/>
                </w:rPr>
                <w:t>Bioventus Inc. 2021 Employee Stock Purchase Plan (incorporated by reference to Exhibit 10.44 to the Registrant’s Registration</w:t>
              </w:r>
            </w:hyperlink>
          </w:p>
        </w:tc>
      </w:tr>
      <w:tr>
        <w:trPr>
          <w:trHeight w:val="156"/>
        </w:trPr>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180" w:type="dxa"/>
            <w:vAlign w:val="bottom"/>
            <w:tcBorders>
              <w:top w:val="single" w:sz="8" w:color="0E32E1"/>
            </w:tcBorders>
            <w:gridSpan w:val="11"/>
          </w:tcPr>
          <w:p>
            <w:pPr>
              <w:spacing w:after="0" w:line="156" w:lineRule="exact"/>
              <w:rPr>
                <w:rFonts w:ascii="Times New Roman" w:cs="Times New Roman" w:eastAsia="Times New Roman" w:hAnsi="Times New Roman"/>
                <w:sz w:val="18"/>
                <w:szCs w:val="18"/>
                <w:color w:val="0E32E1"/>
              </w:rPr>
            </w:pPr>
            <w:hyperlink r:id="rId19">
              <w:r>
                <w:rPr>
                  <w:rFonts w:ascii="Times New Roman" w:cs="Times New Roman" w:eastAsia="Times New Roman" w:hAnsi="Times New Roman"/>
                  <w:sz w:val="18"/>
                  <w:szCs w:val="18"/>
                  <w:color w:val="0E32E1"/>
                </w:rPr>
                <w:t>Statement on Form S-1/A (File No. 333-252238), filed on February 4, 2021)</w:t>
              </w:r>
              <w:r>
                <w:rPr>
                  <w:rFonts w:ascii="Times New Roman" w:cs="Times New Roman" w:eastAsia="Times New Roman" w:hAnsi="Times New Roman"/>
                  <w:sz w:val="18"/>
                  <w:szCs w:val="18"/>
                  <w:color w:val="3051F2"/>
                </w:rPr>
                <w:t>.</w:t>
              </w:r>
            </w:hyperlink>
          </w:p>
        </w:tc>
        <w:tc>
          <w:tcPr>
            <w:tcW w:w="620" w:type="dxa"/>
            <w:vAlign w:val="bottom"/>
            <w:gridSpan w:val="5"/>
          </w:tcPr>
          <w:p>
            <w:pPr>
              <w:spacing w:after="0"/>
              <w:rPr>
                <w:sz w:val="13"/>
                <w:szCs w:val="13"/>
                <w:color w:val="auto"/>
              </w:rPr>
            </w:pPr>
          </w:p>
        </w:tc>
      </w:tr>
      <w:tr>
        <w:trPr>
          <w:trHeight w:val="452"/>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540" w:type="dxa"/>
            <w:vAlign w:val="bottom"/>
            <w:tcBorders>
              <w:top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rPr>
              <w:t>Filing Fee Table</w:t>
            </w:r>
            <w:r>
              <w:rPr>
                <w:rFonts w:ascii="Times New Roman" w:cs="Times New Roman" w:eastAsia="Times New Roman" w:hAnsi="Times New Roman"/>
                <w:sz w:val="18"/>
                <w:szCs w:val="18"/>
                <w:color w:val="3051F2"/>
              </w:rPr>
              <w:t>.</w:t>
            </w:r>
          </w:p>
        </w:tc>
        <w:tc>
          <w:tcPr>
            <w:tcW w:w="4260" w:type="dxa"/>
            <w:vAlign w:val="bottom"/>
            <w:gridSpan w:val="8"/>
          </w:tcPr>
          <w:p>
            <w:pPr>
              <w:spacing w:after="0"/>
              <w:rPr>
                <w:sz w:val="24"/>
                <w:szCs w:val="24"/>
                <w:color w:val="auto"/>
              </w:rPr>
            </w:pPr>
          </w:p>
        </w:tc>
      </w:tr>
      <w:tr>
        <w:trPr>
          <w:trHeight w:val="385"/>
        </w:trPr>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Filed herewith</w:t>
            </w:r>
          </w:p>
        </w:tc>
        <w:tc>
          <w:tcPr>
            <w:tcW w:w="20" w:type="dxa"/>
            <w:vAlign w:val="bottom"/>
          </w:tcPr>
          <w:p>
            <w:pPr>
              <w:spacing w:after="0"/>
              <w:rPr>
                <w:sz w:val="24"/>
                <w:szCs w:val="24"/>
                <w:color w:val="auto"/>
              </w:rPr>
            </w:pPr>
          </w:p>
        </w:tc>
        <w:tc>
          <w:tcPr>
            <w:tcW w:w="1180" w:type="dxa"/>
            <w:vAlign w:val="bottom"/>
            <w:tcBorders>
              <w:top w:val="single" w:sz="8" w:color="0E32E1"/>
            </w:tcBorders>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Durham, State of North Carolina, on March 5, 2026.</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BIOVENTUS INC.</w:t>
      </w:r>
    </w:p>
    <w:p>
      <w:pPr>
        <w:spacing w:after="0" w:line="243" w:lineRule="exact"/>
        <w:rPr>
          <w:sz w:val="20"/>
          <w:szCs w:val="20"/>
          <w:color w:val="auto"/>
        </w:rPr>
      </w:pPr>
    </w:p>
    <w:p>
      <w:pPr>
        <w:ind w:left="20"/>
        <w:spacing w:after="0"/>
        <w:tabs>
          <w:tab w:leader="none" w:pos="4880" w:val="left"/>
          <w:tab w:leader="none" w:pos="532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tab/>
        <w:t>/s/ Robert E. Claypoole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17145</wp:posOffset>
            </wp:positionV>
            <wp:extent cx="3128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0"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Robert E. Claypoole</w:t>
      </w:r>
    </w:p>
    <w:p>
      <w:pPr>
        <w:spacing w:after="0" w:line="2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President, Chief Executive Officer and Director (Principal</w:t>
      </w:r>
    </w:p>
    <w:p>
      <w:pPr>
        <w:spacing w:after="0" w:line="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ectPr>
          <w:pgSz w:w="11900" w:h="16838" w:orient="portrait"/>
          <w:cols w:equalWidth="0" w:num="1">
            <w:col w:w="11240"/>
          </w:cols>
          <w:pgMar w:left="320" w:top="119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6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Robert E. Claypoole and Mark L. Singleton, or each of them singly, with full power to act without the other, such person’s true and lawful attorneys-in-fact and agents, with full power of substitution and re-substitution, for him or her and in his or her name, place and stead, in any and all capacities, to sign this registration statement and any and all amendments, including post-effective amendments to this registration statement, and to file the same, with exhibits and schedules thereto, and other documents in connection therewith, with the Securities and Exchange Commission, granting unto said attorneys-in-fact and agents, and each of them, full power and authority to do and perform each and every act and thing requisite and necessary or desirable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138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3120" w:type="dxa"/>
            <w:vAlign w:val="bottom"/>
          </w:tcPr>
          <w:p>
            <w:pPr>
              <w:ind w:left="1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180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Date</w:t>
            </w:r>
          </w:p>
        </w:tc>
        <w:tc>
          <w:tcPr>
            <w:tcW w:w="6220" w:type="dxa"/>
            <w:vAlign w:val="bottom"/>
          </w:tcPr>
          <w:p>
            <w:pPr>
              <w:ind w:left="29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0" w:type="dxa"/>
            <w:vAlign w:val="bottom"/>
          </w:tcPr>
          <w:p>
            <w:pPr>
              <w:spacing w:after="0"/>
              <w:rPr>
                <w:sz w:val="1"/>
                <w:szCs w:val="1"/>
                <w:color w:val="auto"/>
              </w:rPr>
            </w:pPr>
          </w:p>
        </w:tc>
      </w:tr>
      <w:tr>
        <w:trPr>
          <w:trHeight w:val="27"/>
        </w:trPr>
        <w:tc>
          <w:tcPr>
            <w:tcW w:w="3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Robert E. Claypoole</w:t>
            </w:r>
          </w:p>
        </w:tc>
        <w:tc>
          <w:tcPr>
            <w:tcW w:w="100" w:type="dxa"/>
            <w:vAlign w:val="bottom"/>
          </w:tcPr>
          <w:p>
            <w:pPr>
              <w:spacing w:after="0"/>
              <w:rPr>
                <w:sz w:val="22"/>
                <w:szCs w:val="22"/>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0" w:type="dxa"/>
            <w:vAlign w:val="bottom"/>
          </w:tcPr>
          <w:p>
            <w:pPr>
              <w:spacing w:after="0"/>
              <w:rPr>
                <w:sz w:val="1"/>
                <w:szCs w:val="1"/>
                <w:color w:val="auto"/>
              </w:rPr>
            </w:pPr>
          </w:p>
        </w:tc>
      </w:tr>
      <w:tr>
        <w:trPr>
          <w:trHeight w:val="140"/>
        </w:trPr>
        <w:tc>
          <w:tcPr>
            <w:tcW w:w="3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79"/>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Robert E. Claypoole</w:t>
            </w: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 Mark L. Singleton</w:t>
            </w:r>
          </w:p>
        </w:tc>
        <w:tc>
          <w:tcPr>
            <w:tcW w:w="100" w:type="dxa"/>
            <w:vAlign w:val="bottom"/>
          </w:tcPr>
          <w:p>
            <w:pPr>
              <w:spacing w:after="0"/>
              <w:rPr>
                <w:sz w:val="24"/>
                <w:szCs w:val="24"/>
                <w:color w:val="auto"/>
              </w:rPr>
            </w:pPr>
          </w:p>
        </w:tc>
        <w:tc>
          <w:tcPr>
            <w:tcW w:w="1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0" w:type="dxa"/>
            <w:vAlign w:val="bottom"/>
          </w:tcPr>
          <w:p>
            <w:pPr>
              <w:spacing w:after="0"/>
              <w:rPr>
                <w:sz w:val="1"/>
                <w:szCs w:val="1"/>
                <w:color w:val="auto"/>
              </w:rPr>
            </w:pPr>
          </w:p>
        </w:tc>
      </w:tr>
      <w:tr>
        <w:trPr>
          <w:trHeight w:val="140"/>
        </w:trPr>
        <w:tc>
          <w:tcPr>
            <w:tcW w:w="31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0" w:type="dxa"/>
            <w:vAlign w:val="bottom"/>
          </w:tcPr>
          <w:p>
            <w:pPr>
              <w:spacing w:after="0"/>
              <w:rPr>
                <w:sz w:val="1"/>
                <w:szCs w:val="1"/>
                <w:color w:val="auto"/>
              </w:rPr>
            </w:pPr>
          </w:p>
        </w:tc>
      </w:tr>
      <w:tr>
        <w:trPr>
          <w:trHeight w:val="79"/>
        </w:trPr>
        <w:tc>
          <w:tcPr>
            <w:tcW w:w="3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Mark L. Singleton</w:t>
            </w:r>
          </w:p>
        </w:tc>
        <w:tc>
          <w:tcPr>
            <w:tcW w:w="1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3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William A. Hawkins III</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A. Hawkins III</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John A. Bartholdson</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A. Bartholdson</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Patrick J. Beyer</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Patrick J. Beyer</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Philip G. Cowdy</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 G. Cowdy</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Ajay Dhankhar</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Ajay Dhankhar</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Mary Kay Ladone</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Mary Kay Ladone</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Michelle McMurry-Heath</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Michelle McMurry-Heath</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Guido J. Neels</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Guido J. Neels</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Guy P. Nohra</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Guy P. Nohra</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Stalnecker</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Susan M. Stalnecker</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Martin P. Sutter</w:t>
            </w:r>
          </w:p>
        </w:tc>
        <w:tc>
          <w:tcPr>
            <w:tcW w:w="100" w:type="dxa"/>
            <w:vAlign w:val="bottom"/>
          </w:tcPr>
          <w:p>
            <w:pPr>
              <w:spacing w:after="0"/>
              <w:rPr>
                <w:sz w:val="24"/>
                <w:szCs w:val="24"/>
                <w:color w:val="auto"/>
              </w:rPr>
            </w:pPr>
          </w:p>
        </w:tc>
        <w:tc>
          <w:tcPr>
            <w:tcW w:w="1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5, 2026</w:t>
            </w:r>
          </w:p>
        </w:tc>
        <w:tc>
          <w:tcPr>
            <w:tcW w:w="6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7"/>
        </w:trPr>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Martin P. Sutter</w:t>
            </w: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9" w:right="339" w:bottom="1440" w:gutter="0" w:footer="0" w:header="0"/>
        </w:sectPr>
      </w:pPr>
    </w:p>
    <w:bookmarkStart w:id="4" w:name="page5"/>
    <w:bookmarkEnd w:id="4"/>
    <w:p>
      <w:pPr>
        <w:ind w:left="10220"/>
        <w:spacing w:after="0"/>
        <w:rPr>
          <w:sz w:val="20"/>
          <w:szCs w:val="20"/>
          <w:color w:val="auto"/>
        </w:rPr>
      </w:pPr>
      <w:r>
        <w:rPr>
          <w:rFonts w:ascii="Times New Roman" w:cs="Times New Roman" w:eastAsia="Times New Roman" w:hAnsi="Times New Roman"/>
          <w:sz w:val="18"/>
          <w:szCs w:val="18"/>
          <w:b w:val="1"/>
          <w:bCs w:val="1"/>
          <w:color w:val="auto"/>
        </w:rPr>
        <w:t>Exhibit 107.1</w:t>
      </w:r>
    </w:p>
    <w:p>
      <w:pPr>
        <w:spacing w:after="0" w:line="24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8"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2"/>
          <w:szCs w:val="22"/>
          <w:b w:val="1"/>
          <w:bCs w:val="1"/>
          <w:color w:val="auto"/>
        </w:rPr>
        <w:t>Form S-8</w:t>
      </w:r>
    </w:p>
    <w:p>
      <w:pPr>
        <w:ind w:left="5080"/>
        <w:spacing w:after="0" w:line="230" w:lineRule="auto"/>
        <w:rPr>
          <w:sz w:val="20"/>
          <w:szCs w:val="20"/>
          <w:color w:val="auto"/>
        </w:rPr>
      </w:pPr>
      <w:r>
        <w:rPr>
          <w:rFonts w:ascii="Times New Roman" w:cs="Times New Roman" w:eastAsia="Times New Roman" w:hAnsi="Times New Roman"/>
          <w:sz w:val="22"/>
          <w:szCs w:val="22"/>
          <w:color w:val="auto"/>
        </w:rPr>
        <w:t>(Form Type)</w:t>
      </w:r>
    </w:p>
    <w:p>
      <w:pPr>
        <w:ind w:left="4960"/>
        <w:spacing w:after="0" w:line="231" w:lineRule="auto"/>
        <w:rPr>
          <w:sz w:val="20"/>
          <w:szCs w:val="20"/>
          <w:color w:val="auto"/>
        </w:rPr>
      </w:pPr>
      <w:r>
        <w:rPr>
          <w:rFonts w:ascii="Times New Roman" w:cs="Times New Roman" w:eastAsia="Times New Roman" w:hAnsi="Times New Roman"/>
          <w:sz w:val="22"/>
          <w:szCs w:val="22"/>
          <w:b w:val="1"/>
          <w:bCs w:val="1"/>
          <w:color w:val="auto"/>
        </w:rPr>
        <w:t>Bioventus Inc.</w:t>
      </w:r>
    </w:p>
    <w:p>
      <w:pPr>
        <w:ind w:left="3300"/>
        <w:spacing w:after="0" w:line="217" w:lineRule="auto"/>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Table 1—Newly Registered Securities</w:t>
      </w:r>
    </w:p>
    <w:p>
      <w:pPr>
        <w:spacing w:after="0" w:line="243" w:lineRule="exact"/>
        <w:rPr>
          <w:sz w:val="20"/>
          <w:szCs w:val="20"/>
          <w:color w:val="auto"/>
        </w:rPr>
      </w:pPr>
    </w:p>
    <w:tbl>
      <w:tblPr>
        <w:tblLayout w:type="fixed"/>
        <w:tblInd w:w="10" w:type="dxa"/>
        <w:tblCellMar>
          <w:top w:w="0" w:type="dxa"/>
          <w:left w:w="0" w:type="dxa"/>
          <w:bottom w:w="0" w:type="dxa"/>
          <w:right w:w="0" w:type="dxa"/>
        </w:tblCellMar>
      </w:tblPr>
      <w:tr>
        <w:trPr>
          <w:trHeight w:val="178"/>
        </w:trPr>
        <w:tc>
          <w:tcPr>
            <w:tcW w:w="1300" w:type="dxa"/>
            <w:vAlign w:val="bottom"/>
            <w:tcBorders>
              <w:top w:val="single" w:sz="8" w:color="auto"/>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56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12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 Calculation</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Proposed</w:t>
            </w:r>
          </w:p>
        </w:tc>
        <w:tc>
          <w:tcPr>
            <w:tcW w:w="1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360" w:type="dxa"/>
            <w:vAlign w:val="bottom"/>
            <w:tcBorders>
              <w:top w:val="single" w:sz="8" w:color="auto"/>
              <w:right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Amount of</w:t>
            </w:r>
          </w:p>
        </w:tc>
      </w:tr>
      <w:tr>
        <w:trPr>
          <w:trHeight w:val="162"/>
        </w:trPr>
        <w:tc>
          <w:tcPr>
            <w:tcW w:w="130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be</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Registration Fee</w:t>
            </w:r>
          </w:p>
        </w:tc>
      </w:tr>
      <w:tr>
        <w:trPr>
          <w:trHeight w:val="162"/>
        </w:trPr>
        <w:tc>
          <w:tcPr>
            <w:tcW w:w="130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14"/>
                <w:szCs w:val="14"/>
                <w:color w:val="auto"/>
              </w:rPr>
            </w:pPr>
          </w:p>
        </w:tc>
        <w:tc>
          <w:tcPr>
            <w:tcW w:w="120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 (1)</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 Price</w:t>
            </w:r>
          </w:p>
        </w:tc>
        <w:tc>
          <w:tcPr>
            <w:tcW w:w="1280" w:type="dxa"/>
            <w:vAlign w:val="bottom"/>
            <w:tcBorders>
              <w:right w:val="single" w:sz="8" w:color="auto"/>
            </w:tcBorders>
          </w:tcPr>
          <w:p>
            <w:pPr>
              <w:spacing w:after="0"/>
              <w:rPr>
                <w:sz w:val="14"/>
                <w:szCs w:val="14"/>
                <w:color w:val="auto"/>
              </w:rPr>
            </w:pPr>
          </w:p>
        </w:tc>
        <w:tc>
          <w:tcPr>
            <w:tcW w:w="1360" w:type="dxa"/>
            <w:vAlign w:val="bottom"/>
            <w:tcBorders>
              <w:right w:val="single" w:sz="8" w:color="auto"/>
            </w:tcBorders>
          </w:tcPr>
          <w:p>
            <w:pPr>
              <w:spacing w:after="0"/>
              <w:rPr>
                <w:sz w:val="14"/>
                <w:szCs w:val="14"/>
                <w:color w:val="auto"/>
              </w:rPr>
            </w:pPr>
          </w:p>
        </w:tc>
      </w:tr>
      <w:tr>
        <w:trPr>
          <w:trHeight w:val="190"/>
        </w:trPr>
        <w:tc>
          <w:tcPr>
            <w:tcW w:w="130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15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60"/>
        </w:trPr>
        <w:tc>
          <w:tcPr>
            <w:tcW w:w="1300" w:type="dxa"/>
            <w:vAlign w:val="bottom"/>
            <w:tcBorders>
              <w:left w:val="single" w:sz="8" w:color="auto"/>
              <w:right w:val="single" w:sz="8" w:color="auto"/>
            </w:tcBorders>
          </w:tcPr>
          <w:p>
            <w:pPr>
              <w:ind w:left="40"/>
              <w:spacing w:after="0" w:line="160" w:lineRule="exact"/>
              <w:rPr>
                <w:sz w:val="20"/>
                <w:szCs w:val="20"/>
                <w:color w:val="auto"/>
              </w:rPr>
            </w:pPr>
            <w:r>
              <w:rPr>
                <w:rFonts w:ascii="Times New Roman" w:cs="Times New Roman" w:eastAsia="Times New Roman" w:hAnsi="Times New Roman"/>
                <w:sz w:val="14"/>
                <w:szCs w:val="14"/>
                <w:color w:val="auto"/>
              </w:rPr>
              <w:t>Equity</w:t>
            </w:r>
          </w:p>
        </w:tc>
        <w:tc>
          <w:tcPr>
            <w:tcW w:w="1560" w:type="dxa"/>
            <w:vAlign w:val="bottom"/>
            <w:tcBorders>
              <w:right w:val="single" w:sz="8" w:color="auto"/>
            </w:tcBorders>
          </w:tcPr>
          <w:p>
            <w:pPr>
              <w:spacing w:after="0" w:line="160" w:lineRule="exact"/>
              <w:rPr>
                <w:sz w:val="20"/>
                <w:szCs w:val="20"/>
                <w:color w:val="auto"/>
              </w:rPr>
            </w:pPr>
            <w:r>
              <w:rPr>
                <w:rFonts w:ascii="Times New Roman" w:cs="Times New Roman" w:eastAsia="Times New Roman" w:hAnsi="Times New Roman"/>
                <w:sz w:val="14"/>
                <w:szCs w:val="14"/>
                <w:color w:val="auto"/>
              </w:rPr>
              <w:t>Class A common stock,</w:t>
            </w:r>
          </w:p>
        </w:tc>
        <w:tc>
          <w:tcPr>
            <w:tcW w:w="1200" w:type="dxa"/>
            <w:vAlign w:val="bottom"/>
            <w:tcBorders>
              <w:right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Rule 457(c) and</w:t>
            </w:r>
          </w:p>
        </w:tc>
        <w:tc>
          <w:tcPr>
            <w:tcW w:w="1580" w:type="dxa"/>
            <w:vAlign w:val="bottom"/>
            <w:tcBorders>
              <w:right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4,400,777 (2)</w:t>
            </w:r>
          </w:p>
        </w:tc>
        <w:tc>
          <w:tcPr>
            <w:tcW w:w="1400" w:type="dxa"/>
            <w:vAlign w:val="bottom"/>
            <w:tcBorders>
              <w:right w:val="single" w:sz="8" w:color="auto"/>
            </w:tcBorders>
          </w:tcPr>
          <w:p>
            <w:pPr>
              <w:jc w:val="right"/>
              <w:spacing w:after="0" w:line="160" w:lineRule="exact"/>
              <w:rPr>
                <w:sz w:val="20"/>
                <w:szCs w:val="20"/>
                <w:color w:val="auto"/>
              </w:rPr>
            </w:pPr>
            <w:r>
              <w:rPr>
                <w:rFonts w:ascii="Times New Roman" w:cs="Times New Roman" w:eastAsia="Times New Roman" w:hAnsi="Times New Roman"/>
                <w:sz w:val="14"/>
                <w:szCs w:val="14"/>
                <w:color w:val="auto"/>
              </w:rPr>
              <w:t>$8.54 (3)</w:t>
            </w:r>
          </w:p>
        </w:tc>
        <w:tc>
          <w:tcPr>
            <w:tcW w:w="1580" w:type="dxa"/>
            <w:vAlign w:val="bottom"/>
            <w:tcBorders>
              <w:right w:val="single" w:sz="8" w:color="auto"/>
            </w:tcBorders>
          </w:tcPr>
          <w:p>
            <w:pPr>
              <w:jc w:val="right"/>
              <w:ind w:right="88"/>
              <w:spacing w:after="0" w:line="160" w:lineRule="exact"/>
              <w:rPr>
                <w:sz w:val="20"/>
                <w:szCs w:val="20"/>
                <w:color w:val="auto"/>
              </w:rPr>
            </w:pPr>
            <w:r>
              <w:rPr>
                <w:rFonts w:ascii="Times New Roman" w:cs="Times New Roman" w:eastAsia="Times New Roman" w:hAnsi="Times New Roman"/>
                <w:sz w:val="14"/>
                <w:szCs w:val="14"/>
                <w:color w:val="auto"/>
              </w:rPr>
              <w:t>$37,582,635.58</w:t>
            </w:r>
          </w:p>
        </w:tc>
        <w:tc>
          <w:tcPr>
            <w:tcW w:w="12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color w:val="auto"/>
              </w:rPr>
              <w:t>$138.10 per</w:t>
            </w:r>
          </w:p>
        </w:tc>
        <w:tc>
          <w:tcPr>
            <w:tcW w:w="1360" w:type="dxa"/>
            <w:vAlign w:val="bottom"/>
            <w:tcBorders>
              <w:right w:val="single" w:sz="8" w:color="auto"/>
            </w:tcBorders>
          </w:tcPr>
          <w:p>
            <w:pPr>
              <w:jc w:val="right"/>
              <w:ind w:right="68"/>
              <w:spacing w:after="0" w:line="160" w:lineRule="exact"/>
              <w:rPr>
                <w:sz w:val="20"/>
                <w:szCs w:val="20"/>
                <w:color w:val="auto"/>
              </w:rPr>
            </w:pPr>
            <w:r>
              <w:rPr>
                <w:rFonts w:ascii="Times New Roman" w:cs="Times New Roman" w:eastAsia="Times New Roman" w:hAnsi="Times New Roman"/>
                <w:sz w:val="14"/>
                <w:szCs w:val="14"/>
                <w:color w:val="auto"/>
              </w:rPr>
              <w:t>$5,190.16</w:t>
            </w:r>
          </w:p>
        </w:tc>
      </w:tr>
      <w:tr>
        <w:trPr>
          <w:trHeight w:val="162"/>
        </w:trPr>
        <w:tc>
          <w:tcPr>
            <w:tcW w:w="1300" w:type="dxa"/>
            <w:vAlign w:val="bottom"/>
            <w:tcBorders>
              <w:left w:val="single" w:sz="8" w:color="auto"/>
              <w:right w:val="single" w:sz="8" w:color="auto"/>
            </w:tcBorders>
          </w:tcPr>
          <w:p>
            <w:pPr>
              <w:spacing w:after="0"/>
              <w:rPr>
                <w:sz w:val="14"/>
                <w:szCs w:val="14"/>
                <w:color w:val="auto"/>
              </w:rPr>
            </w:pP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$0.001 par value per</w:t>
            </w:r>
          </w:p>
        </w:tc>
        <w:tc>
          <w:tcPr>
            <w:tcW w:w="12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Rule 457(h)(1)</w:t>
            </w:r>
          </w:p>
        </w:tc>
        <w:tc>
          <w:tcPr>
            <w:tcW w:w="1580" w:type="dxa"/>
            <w:vAlign w:val="bottom"/>
            <w:tcBorders>
              <w:right w:val="single" w:sz="8" w:color="auto"/>
            </w:tcBorders>
          </w:tcPr>
          <w:p>
            <w:pPr>
              <w:spacing w:after="0"/>
              <w:rPr>
                <w:sz w:val="14"/>
                <w:szCs w:val="14"/>
                <w:color w:val="auto"/>
              </w:rPr>
            </w:pPr>
          </w:p>
        </w:tc>
        <w:tc>
          <w:tcPr>
            <w:tcW w:w="1400" w:type="dxa"/>
            <w:vAlign w:val="bottom"/>
            <w:tcBorders>
              <w:right w:val="single" w:sz="8" w:color="auto"/>
            </w:tcBorders>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1,000,000</w:t>
            </w:r>
          </w:p>
        </w:tc>
        <w:tc>
          <w:tcPr>
            <w:tcW w:w="1360" w:type="dxa"/>
            <w:vAlign w:val="bottom"/>
            <w:tcBorders>
              <w:right w:val="single" w:sz="8" w:color="auto"/>
            </w:tcBorders>
          </w:tcPr>
          <w:p>
            <w:pPr>
              <w:spacing w:after="0"/>
              <w:rPr>
                <w:sz w:val="14"/>
                <w:szCs w:val="14"/>
                <w:color w:val="auto"/>
              </w:rPr>
            </w:pPr>
          </w:p>
        </w:tc>
      </w:tr>
      <w:tr>
        <w:trPr>
          <w:trHeight w:val="188"/>
        </w:trPr>
        <w:tc>
          <w:tcPr>
            <w:tcW w:w="1300" w:type="dxa"/>
            <w:vAlign w:val="bottom"/>
            <w:tcBorders>
              <w:left w:val="single" w:sz="8" w:color="auto"/>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share</w:t>
            </w:r>
          </w:p>
        </w:tc>
        <w:tc>
          <w:tcPr>
            <w:tcW w:w="12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spacing w:after="0"/>
              <w:rPr>
                <w:sz w:val="16"/>
                <w:szCs w:val="16"/>
                <w:color w:val="auto"/>
              </w:rPr>
            </w:pPr>
          </w:p>
        </w:tc>
      </w:tr>
      <w:tr>
        <w:trPr>
          <w:trHeight w:val="23"/>
        </w:trPr>
        <w:tc>
          <w:tcPr>
            <w:tcW w:w="1300" w:type="dxa"/>
            <w:vAlign w:val="bottom"/>
            <w:tcBorders>
              <w:left w:val="single" w:sz="8" w:color="auto"/>
              <w:bottom w:val="single" w:sz="8" w:color="auto"/>
              <w:right w:val="single" w:sz="8" w:color="auto"/>
            </w:tcBorders>
          </w:tcPr>
          <w:p>
            <w:pPr>
              <w:spacing w:after="0"/>
              <w:rPr>
                <w:sz w:val="2"/>
                <w:szCs w:val="2"/>
                <w:color w:val="auto"/>
              </w:rPr>
            </w:pPr>
          </w:p>
        </w:tc>
        <w:tc>
          <w:tcPr>
            <w:tcW w:w="156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6"/>
        </w:trPr>
        <w:tc>
          <w:tcPr>
            <w:tcW w:w="2860" w:type="dxa"/>
            <w:vAlign w:val="bottom"/>
            <w:tcBorders>
              <w:left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20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$37,582,635.58</w:t>
            </w:r>
          </w:p>
        </w:tc>
        <w:tc>
          <w:tcPr>
            <w:tcW w:w="12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$5,190.16</w:t>
            </w:r>
          </w:p>
        </w:tc>
      </w:tr>
      <w:tr>
        <w:trPr>
          <w:trHeight w:val="23"/>
        </w:trPr>
        <w:tc>
          <w:tcPr>
            <w:tcW w:w="1300" w:type="dxa"/>
            <w:vAlign w:val="bottom"/>
            <w:tcBorders>
              <w:left w:val="single" w:sz="8" w:color="auto"/>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6"/>
        </w:trPr>
        <w:tc>
          <w:tcPr>
            <w:tcW w:w="13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1300" w:type="dxa"/>
            <w:vAlign w:val="bottom"/>
            <w:tcBorders>
              <w:left w:val="single" w:sz="8" w:color="auto"/>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186"/>
        </w:trPr>
        <w:tc>
          <w:tcPr>
            <w:tcW w:w="130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40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36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$5,190.16</w:t>
            </w:r>
          </w:p>
        </w:tc>
      </w:tr>
      <w:tr>
        <w:trPr>
          <w:trHeight w:val="23"/>
        </w:trPr>
        <w:tc>
          <w:tcPr>
            <w:tcW w:w="1300" w:type="dxa"/>
            <w:vAlign w:val="bottom"/>
            <w:tcBorders>
              <w:left w:val="single" w:sz="8" w:color="auto"/>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28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130" w:lineRule="exact"/>
        <w:rPr>
          <w:sz w:val="20"/>
          <w:szCs w:val="20"/>
          <w:color w:val="auto"/>
        </w:rPr>
      </w:pPr>
    </w:p>
    <w:p>
      <w:pPr>
        <w:ind w:left="660" w:right="20" w:hanging="328"/>
        <w:spacing w:after="0" w:line="281" w:lineRule="auto"/>
        <w:tabs>
          <w:tab w:leader="none" w:pos="6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416 under the Securities Act of 1933, as amended, this registration statement shall be deemed to cover any additional securities that may from time to time be offered or issued to prevent dilution resulting from stock splits, stock dividends or similar transactions.</w:t>
      </w:r>
    </w:p>
    <w:p>
      <w:pPr>
        <w:spacing w:after="0" w:line="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an additional 3,729,800 shares of Bioventus Inc.’s (the “Registrant”) Class A common stock issuable pursuant to the Bioventus Inc. 2021 Incentive Award Plan and an additional 670,977 shares of the Registrant’s Class A common stock issuable pursuant to the Bioventus Inc. 2021 Employee Stock Purchase Plan.</w:t>
      </w:r>
    </w:p>
    <w:p>
      <w:pPr>
        <w:spacing w:after="0" w:line="13"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Rules 457(c) and 457(h)(1) of the Securities Act of 1933, as amended, and based upon the average of the high and low prices of the Registrant’s Class A common stock as reported on The Nasdaq Global Select Market on March 2, 2026.</w:t>
      </w:r>
    </w:p>
    <w:p>
      <w:pPr>
        <w:sectPr>
          <w:pgSz w:w="11900" w:h="16838" w:orient="portrait"/>
          <w:cols w:equalWidth="0" w:num="1">
            <w:col w:w="11260"/>
          </w:cols>
          <w:pgMar w:left="320" w:top="914"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Wyrick Robbins Yates &amp; Ponton LLP</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4101 Lake Boone Trail, Suite 300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Raleigh, North Carolina 27607-7506</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5, 2026</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Bioventus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4721 Emperor Boulevard,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Durham, North Carolina 27703</w:t>
      </w: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 Registration Statement on Form S-8</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examined the Registration Statement on Form S-8 filed on or about the date hereof by Bioventus Inc., a Delaware corporation (the “Registrant”), with the U.S. Securities and Exchange Commission (the “Registration Statement”), in connection with the registration under the Securities Act of 1933, as amended, of an aggregate of 4,400,777 shares of the Registrant’s Class A common stock, $0.001 par value per share (the “Shares”). We understand that 3,729,800 Shares are to be issued pursuant to the Bioventus Inc. 2021 Incentive Award Plan and 670,977 Shares are to be issued pursuant to the Bioventus</w:t>
      </w:r>
    </w:p>
    <w:p>
      <w:pPr>
        <w:spacing w:after="0" w:line="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Inc. 2021 Employee Stock Purchase Plan (each referred to individually as the “Plan” and collectively as the “Plans”). In our examination, we have assumed the genuineness of all signatures, the authenticity of all documents submitted to us as originals and the conformity with the original of all documents submitted to us as copies thereof.</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the Registrant’s legal counsel, we have examined the proceedings taken, and are familiar with the proceedings proposed to be taken, in connection with the sale of the Shares pursuant to the Plans.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our opinion that, upon completion of the proceedings being taken or contemplated by us, as the Registrant’s counsel, to be taken prior to the issuance of the Shares, the Shares when issued in the manner referred to in the Registration Statement and in accordance with the applicable Plan, will be validly issued, fully paid and nonassessable.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consent to the use of this opinion as an exhibit to the Registration Statement and further consent to the use of our name wherever appearing in the Registration Statement, including the prospectus constituting a part thereof, and any amendments thereto.</w:t>
      </w:r>
    </w:p>
    <w:p>
      <w:pPr>
        <w:spacing w:after="0" w:line="200" w:lineRule="exact"/>
        <w:rPr>
          <w:sz w:val="20"/>
          <w:szCs w:val="20"/>
          <w:color w:val="auto"/>
        </w:rPr>
      </w:pPr>
    </w:p>
    <w:p>
      <w:pPr>
        <w:spacing w:after="0" w:line="29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Sincerely,</w:t>
      </w:r>
    </w:p>
    <w:p>
      <w:pPr>
        <w:spacing w:after="0" w:line="320"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/s/ WYRICK ROBBINS YATES &amp; PONTON LLP</w:t>
      </w:r>
    </w:p>
    <w:p>
      <w:pPr>
        <w:sectPr>
          <w:pgSz w:w="11900" w:h="16838" w:orient="portrait"/>
          <w:cols w:equalWidth="0" w:num="1">
            <w:col w:w="11240"/>
          </w:cols>
          <w:pgMar w:left="320" w:top="36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3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issued our report dated March 5, 2026 with respect to the consolidated financial statements of Bioventus Inc. included in the Annual Report on Form 10-K for the year ended December 31, 2025, which is incorporated by reference in this Registration Statement. We consent to the incorporation by reference of the aforementioned report in this Registration Statement.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LLP</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rPr>
          <w:sz w:val="20"/>
          <w:szCs w:val="20"/>
          <w:color w:val="auto"/>
        </w:rPr>
      </w:pPr>
      <w:r>
        <w:rPr>
          <w:rFonts w:ascii="Times New Roman" w:cs="Times New Roman" w:eastAsia="Times New Roman" w:hAnsi="Times New Roman"/>
          <w:sz w:val="18"/>
          <w:szCs w:val="18"/>
          <w:color w:val="auto"/>
        </w:rPr>
        <w:t>March 5, 2026</w:t>
      </w: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0" Type="http://schemas.openxmlformats.org/officeDocument/2006/relationships/image" Target="media/image7.png"/><Relationship Id="rId14" Type="http://schemas.openxmlformats.org/officeDocument/2006/relationships/hyperlink" Target="https://www.sec.gov/Archives/edgar/data/1665988/000162828025011832/bvsmarch2025s-8.htm" TargetMode="External"/><Relationship Id="rId15" Type="http://schemas.openxmlformats.org/officeDocument/2006/relationships/hyperlink" Target="https://www.sec.gov/Archives/edgar/data/1665988/000119312521045802/d134776dex31.htm" TargetMode="External"/><Relationship Id="rId16" Type="http://schemas.openxmlformats.org/officeDocument/2006/relationships/hyperlink" Target="https://www.sec.gov/Archives/edgar/data/1665988/000119312524162669/d775079dex31.htm" TargetMode="External"/><Relationship Id="rId17" Type="http://schemas.openxmlformats.org/officeDocument/2006/relationships/hyperlink" Target="https://www.sec.gov/Archives/edgar/data/1665988/000119312524162669/d775079dex32.htm" TargetMode="External"/><Relationship Id="rId18" Type="http://schemas.openxmlformats.org/officeDocument/2006/relationships/hyperlink" Target="https://www.sec.gov/Archives/edgar/data/1665988/000162828022022592/exhibit103bioventusinc2021.htm" TargetMode="External"/><Relationship Id="rId19" Type="http://schemas.openxmlformats.org/officeDocument/2006/relationships/hyperlink" Target="https://www.sec.gov/Archives/edgar/data/1665988/000119312521028021/d58473dex104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2026-03-05T06:41:23Z</dcterms:created>
  <dcterms:modified xsi:type="dcterms:W3CDTF">2026-03-05T06:41:23Z</dcterms:modified>
</cp:coreProperties>
</file>